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Pr="00B5123F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</w:t>
      </w:r>
      <w:r w:rsidR="00B5123F">
        <w:rPr>
          <w:rFonts w:ascii="Times New Roman" w:hAnsi="Times New Roman"/>
          <w:b/>
          <w:sz w:val="28"/>
          <w:szCs w:val="28"/>
        </w:rPr>
        <w:t>Овстугской СОШ (ФГОС)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6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90DCE" w:rsidRPr="00090DCE" w:rsidRDefault="00090DCE" w:rsidP="00090DC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</w:t>
            </w:r>
            <w:r w:rsidR="00B5305E">
              <w:rPr>
                <w:rFonts w:ascii="Times New Roman" w:hAnsi="Times New Roman"/>
                <w:sz w:val="24"/>
                <w:szCs w:val="24"/>
              </w:rPr>
              <w:t>а основного общего образования М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</w:t>
            </w:r>
            <w:r w:rsidR="00B5123F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Овстугской ордена «Знак Почета» средней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общеобразовательной школы</w:t>
            </w:r>
            <w:r w:rsidR="00B5123F">
              <w:rPr>
                <w:rFonts w:ascii="Times New Roman" w:hAnsi="Times New Roman"/>
                <w:sz w:val="24"/>
                <w:szCs w:val="24"/>
              </w:rPr>
              <w:t xml:space="preserve"> имени Ф.И.Тютчева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(по ФГОС ООО) (далее Программа) разработана дирек</w:t>
            </w:r>
            <w:r w:rsidR="00B5123F">
              <w:rPr>
                <w:rFonts w:ascii="Times New Roman" w:hAnsi="Times New Roman"/>
                <w:sz w:val="24"/>
                <w:szCs w:val="24"/>
              </w:rPr>
              <w:t>тором школы Абрамовой</w:t>
            </w:r>
            <w:r w:rsidR="00B5305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 привлечением органов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(Совет учреждения), принята педагогическим советом школы (протокол №</w:t>
            </w:r>
            <w:r w:rsidR="006A44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B5305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A444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44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444B">
              <w:rPr>
                <w:rFonts w:ascii="Times New Roman" w:hAnsi="Times New Roman"/>
                <w:sz w:val="24"/>
                <w:szCs w:val="24"/>
              </w:rPr>
              <w:t>2015 г.)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 требованиями федерального государс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>Назначение программы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</w:t>
            </w:r>
            <w:r w:rsidR="00B5123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с. Овстуг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для приобретения опыта реального управления и действия;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базовыми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5123F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Планируемые результаты освоения основной образовательной программы основног</w:t>
            </w:r>
            <w:r w:rsidR="00B53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общего образования (ООП ООО) М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униципального бюджетного общеобразовательного учр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ждения </w:t>
            </w:r>
            <w:r w:rsidR="00B512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Овстугской ордена «Знак Почета» средней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общеобразовательной </w:t>
            </w:r>
            <w:r w:rsidR="00B512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школы</w:t>
            </w:r>
          </w:p>
          <w:p w:rsidR="00090DCE" w:rsidRPr="00517258" w:rsidRDefault="00B5123F" w:rsidP="00B5123F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имени Ф.И.Тютчева</w:t>
            </w:r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представляют собой </w:t>
            </w:r>
            <w:r w:rsidR="00090DCE"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      </w:r>
            <w:proofErr w:type="spellStart"/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критериальной</w:t>
            </w:r>
            <w:proofErr w:type="spellEnd"/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курсов, </w:t>
            </w:r>
            <w:r w:rsidR="00090DCE"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="00090DCE"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090DCE"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программ воспитания, </w:t>
            </w:r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одной стор</w:t>
            </w:r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ны, и системы оценки результатов </w:t>
            </w:r>
            <w:r w:rsidR="00090DCE"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основной образовательной программы основного общего образования в соответствии с требованиями Стандарта</w:t>
            </w:r>
            <w:proofErr w:type="gramEnd"/>
            <w:r w:rsidR="00090DCE"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6A444B">
            <w:pPr>
              <w:pStyle w:val="a3"/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содержит сл</w:t>
            </w:r>
            <w:r w:rsidRPr="0072446E">
              <w:rPr>
                <w:b/>
                <w:bCs/>
                <w:i/>
                <w:iCs/>
                <w:u w:val="single"/>
              </w:rPr>
              <w:t>е</w:t>
            </w:r>
            <w:r w:rsidRPr="0072446E">
              <w:rPr>
                <w:b/>
                <w:bCs/>
                <w:i/>
                <w:iCs/>
                <w:u w:val="single"/>
              </w:rPr>
              <w:t>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8667A8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="00090DCE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МБОУ </w:t>
              </w:r>
              <w:r w:rsidR="00B5123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Овстугской СОШ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 2015-2016 учебный год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8667A8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6A444B">
            <w:pPr>
              <w:pStyle w:val="a3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6A444B">
            <w:pPr>
              <w:pStyle w:val="a3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 w:rsidR="00F806E1">
              <w:rPr>
                <w:spacing w:val="-1"/>
              </w:rPr>
              <w:t>.</w:t>
            </w:r>
          </w:p>
          <w:p w:rsidR="0001094E" w:rsidRPr="0072446E" w:rsidRDefault="0001094E" w:rsidP="006A444B">
            <w:pPr>
              <w:pStyle w:val="a3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>вания 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6A444B">
            <w:pPr>
              <w:pStyle w:val="a3"/>
            </w:pPr>
            <w:bookmarkStart w:id="0" w:name="_GoBack"/>
            <w:bookmarkEnd w:id="0"/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72446E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>ставительному органу – Совету школы. Непосредственное управление педагогическим процессом реализует директор школы</w:t>
            </w:r>
            <w:r w:rsidR="00A75E0D" w:rsidRPr="0072446E">
              <w:rPr>
                <w:spacing w:val="-1"/>
              </w:rPr>
              <w:t>.</w:t>
            </w: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 w:rsidSect="00CE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094E"/>
    <w:rsid w:val="0001094E"/>
    <w:rsid w:val="00090DCE"/>
    <w:rsid w:val="00110F5C"/>
    <w:rsid w:val="00155819"/>
    <w:rsid w:val="001744DD"/>
    <w:rsid w:val="001C6B69"/>
    <w:rsid w:val="00227E24"/>
    <w:rsid w:val="006A444B"/>
    <w:rsid w:val="006B4C08"/>
    <w:rsid w:val="007212A6"/>
    <w:rsid w:val="0072446E"/>
    <w:rsid w:val="008667A8"/>
    <w:rsid w:val="00A75E0D"/>
    <w:rsid w:val="00B5123F"/>
    <w:rsid w:val="00B5305E"/>
    <w:rsid w:val="00BF12B3"/>
    <w:rsid w:val="00C55F71"/>
    <w:rsid w:val="00CE61CD"/>
    <w:rsid w:val="00D248C8"/>
    <w:rsid w:val="00D51720"/>
    <w:rsid w:val="00F8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школа</cp:lastModifiedBy>
  <cp:revision>3</cp:revision>
  <cp:lastPrinted>2017-10-24T10:22:00Z</cp:lastPrinted>
  <dcterms:created xsi:type="dcterms:W3CDTF">2017-10-21T16:17:00Z</dcterms:created>
  <dcterms:modified xsi:type="dcterms:W3CDTF">2017-10-24T10:22:00Z</dcterms:modified>
</cp:coreProperties>
</file>